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338" w:type="dxa"/>
        <w:tblLook w:val="04A0" w:firstRow="1" w:lastRow="0" w:firstColumn="1" w:lastColumn="0" w:noHBand="0" w:noVBand="1"/>
      </w:tblPr>
      <w:tblGrid>
        <w:gridCol w:w="5148"/>
        <w:gridCol w:w="3150"/>
        <w:gridCol w:w="2574"/>
        <w:gridCol w:w="2466"/>
      </w:tblGrid>
      <w:tr w:rsidR="00283352" w14:paraId="395418C3" w14:textId="77777777" w:rsidTr="006D1804">
        <w:trPr>
          <w:trHeight w:val="710"/>
        </w:trPr>
        <w:tc>
          <w:tcPr>
            <w:tcW w:w="13338" w:type="dxa"/>
            <w:gridSpan w:val="4"/>
          </w:tcPr>
          <w:p w14:paraId="2E3E0A3B"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27"/>
                <w:szCs w:val="27"/>
              </w:rPr>
            </w:pPr>
            <w:r w:rsidRPr="00283352">
              <w:rPr>
                <w:rFonts w:cs="Arial"/>
                <w:b/>
                <w:bCs/>
                <w:color w:val="000000"/>
                <w:sz w:val="27"/>
                <w:szCs w:val="27"/>
              </w:rPr>
              <w:t>SECOND GRADE</w:t>
            </w:r>
          </w:p>
          <w:p w14:paraId="1D1B3F32" w14:textId="77777777" w:rsidR="00283352" w:rsidRPr="00283352" w:rsidRDefault="00283352" w:rsidP="002833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17"/>
                <w:szCs w:val="17"/>
              </w:rPr>
            </w:pPr>
            <w:r w:rsidRPr="00283352">
              <w:rPr>
                <w:rFonts w:cs="Arial"/>
                <w:color w:val="000000"/>
                <w:sz w:val="17"/>
                <w:szCs w:val="17"/>
              </w:rPr>
              <w:t>*Standards printed in green need to be achieved before moving on to more complex standards.</w:t>
            </w:r>
          </w:p>
        </w:tc>
      </w:tr>
      <w:tr w:rsidR="00283352" w14:paraId="31FF071B" w14:textId="77777777" w:rsidTr="005D7941">
        <w:tc>
          <w:tcPr>
            <w:tcW w:w="5148" w:type="dxa"/>
          </w:tcPr>
          <w:p w14:paraId="6A46C223" w14:textId="77777777" w:rsidR="00283352" w:rsidRPr="00283352" w:rsidRDefault="00283352" w:rsidP="00283352">
            <w:pPr>
              <w:rPr>
                <w:rFonts w:cs="Arial"/>
                <w:b/>
                <w:bCs/>
                <w:color w:val="000000"/>
              </w:rPr>
            </w:pPr>
            <w:r w:rsidRPr="00283352">
              <w:rPr>
                <w:rFonts w:cs="Arial"/>
                <w:b/>
                <w:bCs/>
                <w:color w:val="000000"/>
              </w:rPr>
              <w:t>CCSS:</w:t>
            </w:r>
          </w:p>
          <w:p w14:paraId="379295A0" w14:textId="38AA22E0" w:rsidR="00283352" w:rsidRPr="00283352" w:rsidRDefault="006D1804" w:rsidP="00283352">
            <w:pPr>
              <w:rPr>
                <w:sz w:val="20"/>
                <w:szCs w:val="20"/>
              </w:rPr>
            </w:pPr>
            <w:r>
              <w:rPr>
                <w:rFonts w:cs="Arial"/>
                <w:b/>
                <w:bCs/>
                <w:color w:val="000000"/>
                <w:sz w:val="20"/>
                <w:szCs w:val="20"/>
              </w:rPr>
              <w:t xml:space="preserve">Standard:  </w:t>
            </w:r>
            <w:r w:rsidR="00283352" w:rsidRPr="00283352">
              <w:rPr>
                <w:rFonts w:cs="Arial"/>
                <w:b/>
                <w:bCs/>
                <w:color w:val="000000"/>
                <w:sz w:val="20"/>
                <w:szCs w:val="20"/>
              </w:rPr>
              <w:t>OPERATIONS AND ALGEBRAIC THINKING</w:t>
            </w:r>
            <w:r>
              <w:rPr>
                <w:rFonts w:cs="Arial"/>
                <w:b/>
                <w:bCs/>
                <w:color w:val="000000"/>
                <w:sz w:val="20"/>
                <w:szCs w:val="20"/>
              </w:rPr>
              <w:t xml:space="preserve"> (OA)</w:t>
            </w:r>
          </w:p>
        </w:tc>
        <w:tc>
          <w:tcPr>
            <w:tcW w:w="3150" w:type="dxa"/>
          </w:tcPr>
          <w:p w14:paraId="0D82FDF5" w14:textId="77777777" w:rsidR="00283352" w:rsidRDefault="00283352" w:rsidP="00283352">
            <w:r>
              <w:t xml:space="preserve">Kathy Richardson </w:t>
            </w:r>
          </w:p>
          <w:p w14:paraId="755569E1" w14:textId="4685E663" w:rsidR="00283352" w:rsidRDefault="00283352" w:rsidP="00283352">
            <w:r>
              <w:t xml:space="preserve">Assessing Math </w:t>
            </w:r>
            <w:r w:rsidR="005D7941">
              <w:t xml:space="preserve"> </w:t>
            </w:r>
            <w:bookmarkStart w:id="0" w:name="_GoBack"/>
            <w:bookmarkEnd w:id="0"/>
            <w:r>
              <w:t>Concepts</w:t>
            </w:r>
          </w:p>
        </w:tc>
        <w:tc>
          <w:tcPr>
            <w:tcW w:w="2574" w:type="dxa"/>
          </w:tcPr>
          <w:p w14:paraId="68CBE0AF" w14:textId="77777777" w:rsidR="00283352" w:rsidRDefault="00283352" w:rsidP="00283352">
            <w:proofErr w:type="spellStart"/>
            <w:r>
              <w:t>AimsWeb</w:t>
            </w:r>
            <w:proofErr w:type="spellEnd"/>
            <w:r>
              <w:t xml:space="preserve"> </w:t>
            </w:r>
          </w:p>
          <w:p w14:paraId="707794D4" w14:textId="77777777" w:rsidR="00283352" w:rsidRDefault="00283352" w:rsidP="00283352">
            <w:r>
              <w:t xml:space="preserve">  MCAP</w:t>
            </w:r>
          </w:p>
        </w:tc>
        <w:tc>
          <w:tcPr>
            <w:tcW w:w="2466" w:type="dxa"/>
          </w:tcPr>
          <w:p w14:paraId="36958180" w14:textId="77777777" w:rsidR="00283352" w:rsidRDefault="00283352" w:rsidP="00283352">
            <w:r>
              <w:t xml:space="preserve">Thompson Math   </w:t>
            </w:r>
          </w:p>
          <w:p w14:paraId="2095E857" w14:textId="77777777" w:rsidR="00283352" w:rsidRDefault="00283352" w:rsidP="00283352">
            <w:r>
              <w:t xml:space="preserve">  Diagnostics</w:t>
            </w:r>
          </w:p>
        </w:tc>
      </w:tr>
      <w:tr w:rsidR="00B12157" w14:paraId="5A3E23EB" w14:textId="77777777" w:rsidTr="005D7941">
        <w:tc>
          <w:tcPr>
            <w:tcW w:w="5148" w:type="dxa"/>
          </w:tcPr>
          <w:p w14:paraId="1FC064D0" w14:textId="77777777" w:rsidR="00B12157" w:rsidRPr="00283352" w:rsidRDefault="00B12157" w:rsidP="00283352">
            <w:pPr>
              <w:rPr>
                <w:rFonts w:cs="Arial"/>
                <w:b/>
                <w:bCs/>
                <w:color w:val="000000"/>
              </w:rPr>
            </w:pPr>
          </w:p>
        </w:tc>
        <w:tc>
          <w:tcPr>
            <w:tcW w:w="3150" w:type="dxa"/>
          </w:tcPr>
          <w:p w14:paraId="32E83669" w14:textId="77777777" w:rsidR="00B12157" w:rsidRDefault="00B12157" w:rsidP="00283352"/>
        </w:tc>
        <w:tc>
          <w:tcPr>
            <w:tcW w:w="2574" w:type="dxa"/>
          </w:tcPr>
          <w:p w14:paraId="117C327D" w14:textId="77777777" w:rsidR="00B12157" w:rsidRDefault="00B12157" w:rsidP="00283352">
            <w:r>
              <w:rPr>
                <w:sz w:val="17"/>
                <w:szCs w:val="17"/>
              </w:rPr>
              <w:t xml:space="preserve">Items </w:t>
            </w:r>
            <w:r w:rsidRPr="00B12157">
              <w:rPr>
                <w:sz w:val="17"/>
                <w:szCs w:val="17"/>
              </w:rPr>
              <w:t>#</w:t>
            </w:r>
            <w:r>
              <w:rPr>
                <w:sz w:val="17"/>
                <w:szCs w:val="17"/>
              </w:rPr>
              <w:t>4, 23, 25, 27</w:t>
            </w:r>
          </w:p>
        </w:tc>
        <w:tc>
          <w:tcPr>
            <w:tcW w:w="2466" w:type="dxa"/>
          </w:tcPr>
          <w:p w14:paraId="64A99ECE" w14:textId="77777777" w:rsidR="00B12157" w:rsidRDefault="00B12157" w:rsidP="00283352"/>
        </w:tc>
      </w:tr>
      <w:tr w:rsidR="00283352" w:rsidRPr="00283352" w14:paraId="5E5E45E7" w14:textId="77777777" w:rsidTr="005D7941">
        <w:tc>
          <w:tcPr>
            <w:tcW w:w="5148" w:type="dxa"/>
          </w:tcPr>
          <w:p w14:paraId="1CF4DB78"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283352">
              <w:rPr>
                <w:rFonts w:cs="Arial"/>
                <w:b/>
                <w:bCs/>
                <w:color w:val="000000"/>
                <w:sz w:val="17"/>
                <w:szCs w:val="17"/>
              </w:rPr>
              <w:t>Add and subtract within 20</w:t>
            </w:r>
          </w:p>
          <w:p w14:paraId="7894500D"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F7003"/>
                <w:sz w:val="17"/>
                <w:szCs w:val="17"/>
              </w:rPr>
            </w:pPr>
            <w:r w:rsidRPr="00283352">
              <w:rPr>
                <w:rFonts w:cs="Arial"/>
                <w:b/>
                <w:bCs/>
                <w:color w:val="0F7003"/>
                <w:sz w:val="17"/>
                <w:szCs w:val="17"/>
              </w:rPr>
              <w:t xml:space="preserve">Solve addition and subtraction word problems, and add and subtract </w:t>
            </w:r>
            <w:r w:rsidRPr="00283352">
              <w:rPr>
                <w:rFonts w:cs="Arial"/>
                <w:b/>
                <w:bCs/>
                <w:i/>
                <w:iCs/>
                <w:color w:val="0F7003"/>
                <w:sz w:val="17"/>
                <w:szCs w:val="17"/>
              </w:rPr>
              <w:t>within 10</w:t>
            </w:r>
            <w:r w:rsidRPr="00283352">
              <w:rPr>
                <w:rFonts w:cs="Arial"/>
                <w:b/>
                <w:bCs/>
                <w:color w:val="0F7003"/>
                <w:sz w:val="17"/>
                <w:szCs w:val="17"/>
              </w:rPr>
              <w:t>, e.g. by using objects or drawings to represent the problem</w:t>
            </w:r>
            <w:proofErr w:type="gramStart"/>
            <w:r w:rsidRPr="00283352">
              <w:rPr>
                <w:rFonts w:cs="Arial"/>
                <w:b/>
                <w:bCs/>
                <w:color w:val="0F7003"/>
                <w:sz w:val="17"/>
                <w:szCs w:val="17"/>
              </w:rPr>
              <w:t>.*</w:t>
            </w:r>
            <w:proofErr w:type="gramEnd"/>
          </w:p>
          <w:p w14:paraId="6CCFEB2C"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118404"/>
                <w:sz w:val="17"/>
                <w:szCs w:val="17"/>
              </w:rPr>
            </w:pPr>
            <w:r w:rsidRPr="00283352">
              <w:rPr>
                <w:rFonts w:cs="Arial"/>
                <w:b/>
                <w:bCs/>
                <w:color w:val="118404"/>
                <w:sz w:val="17"/>
                <w:szCs w:val="17"/>
              </w:rPr>
              <w:t>Add and subtract within 20, demonstrating fluency for addition and subtraction within 10. Use strategies such as counting on, making ten (e.g., 8+6=8+2+4); decomposing a number leading to a ten (e.g., 13-4=13-3-1); using the relationship between addition and subtraction and creating equivalent but easier or known sums (e.g., 6+6=12 so 6+7 is one more, 13).</w:t>
            </w:r>
          </w:p>
          <w:p w14:paraId="7F7DD8EA" w14:textId="77777777" w:rsidR="00283352" w:rsidRPr="00283352" w:rsidRDefault="00283352" w:rsidP="00C30216">
            <w:r w:rsidRPr="00283352">
              <w:rPr>
                <w:rFonts w:cs="Arial"/>
                <w:color w:val="000000"/>
                <w:sz w:val="17"/>
                <w:szCs w:val="17"/>
              </w:rPr>
              <w:t>Fluently add and subtract 20 using mental strategies. By end of Grade 2, know from memory all sums of two one-digit numbers.</w:t>
            </w:r>
          </w:p>
        </w:tc>
        <w:tc>
          <w:tcPr>
            <w:tcW w:w="3150" w:type="dxa"/>
          </w:tcPr>
          <w:p w14:paraId="19F7726F" w14:textId="77777777" w:rsidR="00283352" w:rsidRPr="00B12157" w:rsidRDefault="00B12157" w:rsidP="00283352">
            <w:r w:rsidRPr="00B12157">
              <w:rPr>
                <w:rFonts w:cs="Arial"/>
                <w:b/>
                <w:bCs/>
                <w:color w:val="000000"/>
                <w:sz w:val="17"/>
                <w:szCs w:val="17"/>
              </w:rPr>
              <w:t xml:space="preserve">Assessment 5: Combination Trains Assessment 6: Hiding Assessment </w:t>
            </w:r>
            <w:proofErr w:type="spellStart"/>
            <w:r w:rsidRPr="00B12157">
              <w:rPr>
                <w:rFonts w:cs="Arial"/>
                <w:b/>
                <w:bCs/>
                <w:color w:val="000000"/>
                <w:sz w:val="17"/>
                <w:szCs w:val="17"/>
              </w:rPr>
              <w:t>Assessment</w:t>
            </w:r>
            <w:proofErr w:type="spellEnd"/>
            <w:r w:rsidRPr="00B12157">
              <w:rPr>
                <w:rFonts w:cs="Arial"/>
                <w:b/>
                <w:bCs/>
                <w:color w:val="000000"/>
                <w:sz w:val="17"/>
                <w:szCs w:val="17"/>
              </w:rPr>
              <w:t xml:space="preserve"> 7: Ten Frames</w:t>
            </w:r>
          </w:p>
        </w:tc>
        <w:tc>
          <w:tcPr>
            <w:tcW w:w="2574" w:type="dxa"/>
          </w:tcPr>
          <w:p w14:paraId="44EDD5AE" w14:textId="77777777" w:rsidR="00283352" w:rsidRPr="00B12157" w:rsidRDefault="00283352" w:rsidP="00283352">
            <w:pPr>
              <w:rPr>
                <w:sz w:val="17"/>
                <w:szCs w:val="17"/>
              </w:rPr>
            </w:pPr>
          </w:p>
        </w:tc>
        <w:tc>
          <w:tcPr>
            <w:tcW w:w="2466" w:type="dxa"/>
          </w:tcPr>
          <w:p w14:paraId="25B97F4F" w14:textId="77777777" w:rsidR="00283352" w:rsidRDefault="006D1804" w:rsidP="00283352">
            <w:pPr>
              <w:rPr>
                <w:sz w:val="16"/>
                <w:szCs w:val="16"/>
              </w:rPr>
            </w:pPr>
            <w:r>
              <w:rPr>
                <w:sz w:val="16"/>
                <w:szCs w:val="16"/>
              </w:rPr>
              <w:t>Beginning of Year Assessment</w:t>
            </w:r>
          </w:p>
          <w:p w14:paraId="4F6650C1" w14:textId="77777777" w:rsidR="006D1804" w:rsidRDefault="006D1804" w:rsidP="00283352">
            <w:pPr>
              <w:rPr>
                <w:sz w:val="16"/>
                <w:szCs w:val="16"/>
              </w:rPr>
            </w:pPr>
            <w:r>
              <w:rPr>
                <w:sz w:val="16"/>
                <w:szCs w:val="16"/>
              </w:rPr>
              <w:t>Mid Year Assessment</w:t>
            </w:r>
          </w:p>
          <w:p w14:paraId="732B4761" w14:textId="682F2B10" w:rsidR="001F7ED2" w:rsidRPr="006D1804" w:rsidRDefault="001F7ED2" w:rsidP="00283352">
            <w:pPr>
              <w:rPr>
                <w:sz w:val="16"/>
                <w:szCs w:val="16"/>
              </w:rPr>
            </w:pPr>
            <w:r>
              <w:rPr>
                <w:sz w:val="16"/>
                <w:szCs w:val="16"/>
              </w:rPr>
              <w:t>End of Year Assessment</w:t>
            </w:r>
          </w:p>
        </w:tc>
      </w:tr>
      <w:tr w:rsidR="00283352" w:rsidRPr="00283352" w14:paraId="3FA34123" w14:textId="77777777" w:rsidTr="005D7941">
        <w:tc>
          <w:tcPr>
            <w:tcW w:w="5148" w:type="dxa"/>
          </w:tcPr>
          <w:p w14:paraId="61AC9DE3"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283352">
              <w:rPr>
                <w:rFonts w:cs="Arial"/>
                <w:b/>
                <w:bCs/>
                <w:color w:val="000000"/>
                <w:sz w:val="17"/>
                <w:szCs w:val="17"/>
              </w:rPr>
              <w:t xml:space="preserve">Represent and solve problems involving addition and subtraction </w:t>
            </w:r>
            <w:r w:rsidRPr="00283352">
              <w:rPr>
                <w:rFonts w:cs="Arial"/>
                <w:color w:val="000000"/>
                <w:sz w:val="17"/>
                <w:szCs w:val="17"/>
              </w:rPr>
              <w:t>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w:t>
            </w:r>
          </w:p>
        </w:tc>
        <w:tc>
          <w:tcPr>
            <w:tcW w:w="3150" w:type="dxa"/>
          </w:tcPr>
          <w:p w14:paraId="3631E7AE" w14:textId="77777777" w:rsidR="00283352" w:rsidRPr="00283352" w:rsidRDefault="00283352" w:rsidP="00283352">
            <w:pPr>
              <w:rPr>
                <w:rFonts w:cs="Arial"/>
                <w:b/>
                <w:bCs/>
                <w:color w:val="000000"/>
                <w:sz w:val="17"/>
                <w:szCs w:val="17"/>
              </w:rPr>
            </w:pPr>
            <w:r>
              <w:rPr>
                <w:rFonts w:cs="Arial"/>
                <w:b/>
                <w:bCs/>
                <w:color w:val="000000"/>
                <w:sz w:val="17"/>
                <w:szCs w:val="17"/>
              </w:rPr>
              <w:t xml:space="preserve"> </w:t>
            </w:r>
          </w:p>
        </w:tc>
        <w:tc>
          <w:tcPr>
            <w:tcW w:w="2574" w:type="dxa"/>
          </w:tcPr>
          <w:p w14:paraId="3391CC5D" w14:textId="77777777" w:rsidR="00283352" w:rsidRPr="00283352" w:rsidRDefault="00283352" w:rsidP="00283352"/>
        </w:tc>
        <w:tc>
          <w:tcPr>
            <w:tcW w:w="2466" w:type="dxa"/>
          </w:tcPr>
          <w:p w14:paraId="7493F367" w14:textId="77777777" w:rsidR="00283352" w:rsidRDefault="001F7ED2" w:rsidP="00283352">
            <w:pPr>
              <w:rPr>
                <w:sz w:val="16"/>
                <w:szCs w:val="16"/>
              </w:rPr>
            </w:pPr>
            <w:r>
              <w:rPr>
                <w:sz w:val="16"/>
                <w:szCs w:val="16"/>
              </w:rPr>
              <w:t>Beginning of Year Assessment</w:t>
            </w:r>
          </w:p>
          <w:p w14:paraId="7B59D091" w14:textId="3998BF63" w:rsidR="001F7ED2" w:rsidRPr="001F7ED2" w:rsidRDefault="001F7ED2" w:rsidP="00283352">
            <w:pPr>
              <w:rPr>
                <w:sz w:val="16"/>
                <w:szCs w:val="16"/>
              </w:rPr>
            </w:pPr>
            <w:r>
              <w:rPr>
                <w:sz w:val="16"/>
                <w:szCs w:val="16"/>
              </w:rPr>
              <w:t>End of Year Assessment</w:t>
            </w:r>
          </w:p>
        </w:tc>
      </w:tr>
      <w:tr w:rsidR="00283352" w:rsidRPr="00283352" w14:paraId="0A5DD70D" w14:textId="77777777" w:rsidTr="005D7941">
        <w:tc>
          <w:tcPr>
            <w:tcW w:w="5148" w:type="dxa"/>
          </w:tcPr>
          <w:p w14:paraId="7506BC4B"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i/>
                <w:iCs/>
                <w:color w:val="000000"/>
                <w:sz w:val="17"/>
                <w:szCs w:val="17"/>
              </w:rPr>
            </w:pPr>
            <w:r w:rsidRPr="00283352">
              <w:rPr>
                <w:rFonts w:cs="Arial"/>
                <w:b/>
                <w:bCs/>
                <w:color w:val="000000"/>
                <w:sz w:val="17"/>
                <w:szCs w:val="17"/>
              </w:rPr>
              <w:t xml:space="preserve">Work with equal groups of objects to gain foundations for multiplication </w:t>
            </w:r>
            <w:r w:rsidRPr="00283352">
              <w:rPr>
                <w:rFonts w:cs="Arial"/>
                <w:color w:val="000000"/>
                <w:sz w:val="17"/>
                <w:szCs w:val="17"/>
              </w:rPr>
              <w:t xml:space="preserve">Determine whether a group of objects (up to 20) has an odd or even number of members, </w:t>
            </w:r>
            <w:r w:rsidRPr="00283352">
              <w:rPr>
                <w:rFonts w:cs="Arial"/>
                <w:i/>
                <w:iCs/>
                <w:color w:val="000000"/>
                <w:sz w:val="17"/>
                <w:szCs w:val="17"/>
              </w:rPr>
              <w:t>e.g., by pairing objects or counting them by 2's, write an equation to express an even number as a sum of two equal addends.</w:t>
            </w:r>
          </w:p>
          <w:p w14:paraId="1E728E9F"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283352">
              <w:rPr>
                <w:rFonts w:cs="Arial"/>
                <w:color w:val="000000"/>
                <w:sz w:val="17"/>
                <w:szCs w:val="17"/>
              </w:rPr>
              <w:t xml:space="preserve">Use addition to find the total number of objects arranged in rectangular arrays with up to 5 rows and up to 5 columns; </w:t>
            </w:r>
            <w:r w:rsidRPr="00283352">
              <w:rPr>
                <w:rFonts w:cs="Arial"/>
                <w:color w:val="000000"/>
                <w:sz w:val="17"/>
                <w:szCs w:val="17"/>
              </w:rPr>
              <w:lastRenderedPageBreak/>
              <w:t>write an equation to express the total as a sum of equal addends.</w:t>
            </w:r>
          </w:p>
        </w:tc>
        <w:tc>
          <w:tcPr>
            <w:tcW w:w="3150" w:type="dxa"/>
          </w:tcPr>
          <w:p w14:paraId="2BD62987" w14:textId="77777777" w:rsidR="00283352" w:rsidRPr="00283352" w:rsidRDefault="00283352" w:rsidP="00283352">
            <w:pPr>
              <w:rPr>
                <w:rFonts w:cs="Arial"/>
                <w:b/>
                <w:bCs/>
                <w:color w:val="000000"/>
                <w:sz w:val="17"/>
                <w:szCs w:val="17"/>
              </w:rPr>
            </w:pPr>
            <w:r>
              <w:rPr>
                <w:rFonts w:cs="Arial"/>
                <w:b/>
                <w:bCs/>
                <w:color w:val="000000"/>
                <w:sz w:val="17"/>
                <w:szCs w:val="17"/>
              </w:rPr>
              <w:lastRenderedPageBreak/>
              <w:t xml:space="preserve"> </w:t>
            </w:r>
          </w:p>
        </w:tc>
        <w:tc>
          <w:tcPr>
            <w:tcW w:w="2574" w:type="dxa"/>
          </w:tcPr>
          <w:p w14:paraId="5203E99F" w14:textId="77777777" w:rsidR="00283352" w:rsidRPr="00283352" w:rsidRDefault="00283352" w:rsidP="00283352"/>
        </w:tc>
        <w:tc>
          <w:tcPr>
            <w:tcW w:w="2466" w:type="dxa"/>
          </w:tcPr>
          <w:p w14:paraId="2E513098" w14:textId="77777777" w:rsidR="00283352" w:rsidRDefault="006D1804" w:rsidP="00283352">
            <w:pPr>
              <w:rPr>
                <w:sz w:val="16"/>
                <w:szCs w:val="16"/>
              </w:rPr>
            </w:pPr>
            <w:r>
              <w:rPr>
                <w:sz w:val="16"/>
                <w:szCs w:val="16"/>
              </w:rPr>
              <w:t>Beginning of Year Assessment</w:t>
            </w:r>
          </w:p>
          <w:p w14:paraId="522A8B05" w14:textId="77777777" w:rsidR="006D1804" w:rsidRDefault="006D1804" w:rsidP="00283352">
            <w:pPr>
              <w:rPr>
                <w:sz w:val="16"/>
                <w:szCs w:val="16"/>
              </w:rPr>
            </w:pPr>
            <w:r>
              <w:rPr>
                <w:sz w:val="16"/>
                <w:szCs w:val="16"/>
              </w:rPr>
              <w:t>Mid Year Assessment</w:t>
            </w:r>
          </w:p>
          <w:p w14:paraId="7B2660D5" w14:textId="4FA22CDD" w:rsidR="001F7ED2" w:rsidRPr="006D1804" w:rsidRDefault="001F7ED2" w:rsidP="00283352">
            <w:pPr>
              <w:rPr>
                <w:sz w:val="16"/>
                <w:szCs w:val="16"/>
              </w:rPr>
            </w:pPr>
            <w:r>
              <w:rPr>
                <w:sz w:val="16"/>
                <w:szCs w:val="16"/>
              </w:rPr>
              <w:t>End of Year Assessment</w:t>
            </w:r>
          </w:p>
        </w:tc>
      </w:tr>
      <w:tr w:rsidR="00283352" w:rsidRPr="00283352" w14:paraId="627B3B51" w14:textId="77777777" w:rsidTr="005D7941">
        <w:tc>
          <w:tcPr>
            <w:tcW w:w="5148" w:type="dxa"/>
          </w:tcPr>
          <w:p w14:paraId="6E06AF22" w14:textId="3FDCEB4E" w:rsidR="00283352" w:rsidRPr="006D1804" w:rsidRDefault="006D1804"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20"/>
                <w:szCs w:val="20"/>
              </w:rPr>
            </w:pPr>
            <w:r w:rsidRPr="006D1804">
              <w:rPr>
                <w:rFonts w:cs="Arial"/>
                <w:b/>
                <w:bCs/>
                <w:color w:val="000000"/>
                <w:sz w:val="20"/>
                <w:szCs w:val="20"/>
              </w:rPr>
              <w:lastRenderedPageBreak/>
              <w:t xml:space="preserve">Standard: </w:t>
            </w:r>
            <w:r w:rsidR="00283352" w:rsidRPr="006D1804">
              <w:rPr>
                <w:rFonts w:cs="Arial"/>
                <w:b/>
                <w:bCs/>
                <w:color w:val="000000"/>
                <w:sz w:val="20"/>
                <w:szCs w:val="20"/>
              </w:rPr>
              <w:t>NUMBER AND OPERATIONS IN BASE TEN</w:t>
            </w:r>
            <w:r>
              <w:rPr>
                <w:rFonts w:cs="Arial"/>
                <w:b/>
                <w:bCs/>
                <w:color w:val="000000"/>
                <w:sz w:val="20"/>
                <w:szCs w:val="20"/>
              </w:rPr>
              <w:t xml:space="preserve">:  </w:t>
            </w:r>
            <w:r w:rsidR="00283352" w:rsidRPr="00B12157">
              <w:rPr>
                <w:rFonts w:cs="Arial"/>
                <w:b/>
                <w:bCs/>
                <w:color w:val="000000"/>
                <w:sz w:val="20"/>
                <w:szCs w:val="20"/>
              </w:rPr>
              <w:t>Understand Place Value</w:t>
            </w:r>
            <w:r>
              <w:rPr>
                <w:rFonts w:cs="Arial"/>
                <w:b/>
                <w:bCs/>
                <w:color w:val="000000"/>
                <w:sz w:val="20"/>
                <w:szCs w:val="20"/>
              </w:rPr>
              <w:t xml:space="preserve"> (NBT)</w:t>
            </w:r>
          </w:p>
        </w:tc>
        <w:tc>
          <w:tcPr>
            <w:tcW w:w="3150" w:type="dxa"/>
          </w:tcPr>
          <w:p w14:paraId="11798C89" w14:textId="77777777" w:rsidR="00283352" w:rsidRPr="00283352" w:rsidRDefault="00283352" w:rsidP="00283352">
            <w:pPr>
              <w:rPr>
                <w:rFonts w:cs="Arial"/>
                <w:b/>
                <w:bCs/>
                <w:color w:val="000000"/>
                <w:sz w:val="17"/>
                <w:szCs w:val="17"/>
              </w:rPr>
            </w:pPr>
          </w:p>
        </w:tc>
        <w:tc>
          <w:tcPr>
            <w:tcW w:w="2574" w:type="dxa"/>
          </w:tcPr>
          <w:p w14:paraId="7F112DDF" w14:textId="77777777" w:rsidR="00283352" w:rsidRPr="00B12157" w:rsidRDefault="00B12157" w:rsidP="00283352">
            <w:pPr>
              <w:rPr>
                <w:sz w:val="17"/>
                <w:szCs w:val="17"/>
              </w:rPr>
            </w:pPr>
            <w:r w:rsidRPr="00B12157">
              <w:rPr>
                <w:sz w:val="17"/>
                <w:szCs w:val="17"/>
              </w:rPr>
              <w:t>Items #2, 5, 7, 8, 9, 10, 12, 15, 18, 20, 22, 24, 29</w:t>
            </w:r>
          </w:p>
        </w:tc>
        <w:tc>
          <w:tcPr>
            <w:tcW w:w="2466" w:type="dxa"/>
          </w:tcPr>
          <w:p w14:paraId="5119B680" w14:textId="77777777" w:rsidR="00283352" w:rsidRPr="00283352" w:rsidRDefault="00283352" w:rsidP="00283352"/>
        </w:tc>
      </w:tr>
      <w:tr w:rsidR="00283352" w:rsidRPr="00283352" w14:paraId="4F81855A" w14:textId="77777777" w:rsidTr="005D7941">
        <w:tc>
          <w:tcPr>
            <w:tcW w:w="5148" w:type="dxa"/>
          </w:tcPr>
          <w:p w14:paraId="2C9F8511"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17"/>
                <w:szCs w:val="17"/>
              </w:rPr>
            </w:pPr>
            <w:r w:rsidRPr="00283352">
              <w:rPr>
                <w:rFonts w:cs="Arial"/>
                <w:b/>
                <w:bCs/>
                <w:color w:val="118404"/>
                <w:sz w:val="17"/>
                <w:szCs w:val="17"/>
              </w:rPr>
              <w:t>Understand that the two digits of a two-digit number represent amounts of tens and ones. •The numbers 10, 20, 30, 40, 50, 60, 70, 80, 90 refer to one, two, three four, five, six, seven, eight, or nine tens (and 0 ones.) •Compare two-digit numbers based on meanings of the tens and ones digits, recording the results of comparisons with the symbols ›, =, and ‹.</w:t>
            </w:r>
          </w:p>
        </w:tc>
        <w:tc>
          <w:tcPr>
            <w:tcW w:w="3150" w:type="dxa"/>
          </w:tcPr>
          <w:p w14:paraId="7EC0B391" w14:textId="77777777" w:rsidR="00283352" w:rsidRPr="00283352" w:rsidRDefault="00283352" w:rsidP="00283352">
            <w:pPr>
              <w:rPr>
                <w:rFonts w:cs="Arial"/>
                <w:b/>
                <w:bCs/>
                <w:color w:val="000000"/>
                <w:sz w:val="17"/>
                <w:szCs w:val="17"/>
              </w:rPr>
            </w:pPr>
            <w:r w:rsidRPr="00283352">
              <w:rPr>
                <w:rFonts w:cs="Arial"/>
                <w:b/>
                <w:bCs/>
                <w:color w:val="000000"/>
                <w:sz w:val="17"/>
                <w:szCs w:val="17"/>
              </w:rPr>
              <w:t>Assessment 8: Grouping Tens</w:t>
            </w:r>
          </w:p>
        </w:tc>
        <w:tc>
          <w:tcPr>
            <w:tcW w:w="2574" w:type="dxa"/>
          </w:tcPr>
          <w:p w14:paraId="41B5AC13" w14:textId="77777777" w:rsidR="00283352" w:rsidRPr="00283352" w:rsidRDefault="00283352" w:rsidP="00283352"/>
        </w:tc>
        <w:tc>
          <w:tcPr>
            <w:tcW w:w="2466" w:type="dxa"/>
          </w:tcPr>
          <w:p w14:paraId="2D2320B4" w14:textId="77777777" w:rsidR="00283352" w:rsidRDefault="006D1804" w:rsidP="00283352">
            <w:pPr>
              <w:rPr>
                <w:sz w:val="16"/>
                <w:szCs w:val="16"/>
              </w:rPr>
            </w:pPr>
            <w:r>
              <w:rPr>
                <w:sz w:val="16"/>
                <w:szCs w:val="16"/>
              </w:rPr>
              <w:t>Beginning of Year Assessment</w:t>
            </w:r>
          </w:p>
          <w:p w14:paraId="23DDEF1F" w14:textId="77777777" w:rsidR="006D1804" w:rsidRDefault="006D1804" w:rsidP="00283352">
            <w:pPr>
              <w:rPr>
                <w:sz w:val="16"/>
                <w:szCs w:val="16"/>
              </w:rPr>
            </w:pPr>
            <w:r>
              <w:rPr>
                <w:sz w:val="16"/>
                <w:szCs w:val="16"/>
              </w:rPr>
              <w:t>Mid Year Assessment</w:t>
            </w:r>
          </w:p>
          <w:p w14:paraId="71972C0B" w14:textId="2856363E" w:rsidR="001F7ED2" w:rsidRPr="006D1804" w:rsidRDefault="001F7ED2" w:rsidP="00283352">
            <w:pPr>
              <w:rPr>
                <w:sz w:val="16"/>
                <w:szCs w:val="16"/>
              </w:rPr>
            </w:pPr>
            <w:r>
              <w:rPr>
                <w:sz w:val="16"/>
                <w:szCs w:val="16"/>
              </w:rPr>
              <w:t>End of Year Assessment</w:t>
            </w:r>
          </w:p>
        </w:tc>
      </w:tr>
      <w:tr w:rsidR="00283352" w:rsidRPr="00283352" w14:paraId="225BD993" w14:textId="77777777" w:rsidTr="005D7941">
        <w:tc>
          <w:tcPr>
            <w:tcW w:w="5148" w:type="dxa"/>
          </w:tcPr>
          <w:p w14:paraId="36E5A224"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17"/>
                <w:szCs w:val="17"/>
              </w:rPr>
            </w:pPr>
            <w:r w:rsidRPr="00283352">
              <w:rPr>
                <w:rFonts w:cs="Arial"/>
                <w:color w:val="000000"/>
                <w:sz w:val="17"/>
                <w:szCs w:val="17"/>
              </w:rPr>
              <w:t xml:space="preserve">Understand that the three digits of a three-digit number represent amounts of hundreds, tens, and ones, </w:t>
            </w:r>
            <w:r w:rsidRPr="00283352">
              <w:rPr>
                <w:rFonts w:cs="Arial"/>
                <w:i/>
                <w:iCs/>
                <w:color w:val="000000"/>
                <w:sz w:val="17"/>
                <w:szCs w:val="17"/>
              </w:rPr>
              <w:t xml:space="preserve">e.g., 706 equals 7 hundreds, 9 tens and 6 ones. </w:t>
            </w:r>
            <w:r w:rsidRPr="00283352">
              <w:rPr>
                <w:rFonts w:cs="Arial"/>
                <w:color w:val="000000"/>
                <w:sz w:val="17"/>
                <w:szCs w:val="17"/>
              </w:rPr>
              <w:t>Understand the following as special cases:</w:t>
            </w:r>
          </w:p>
          <w:p w14:paraId="228A0DC1"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118404"/>
                <w:sz w:val="17"/>
                <w:szCs w:val="17"/>
              </w:rPr>
            </w:pPr>
            <w:r w:rsidRPr="00283352">
              <w:rPr>
                <w:rFonts w:cs="Arial"/>
                <w:color w:val="000000"/>
                <w:sz w:val="17"/>
                <w:szCs w:val="17"/>
              </w:rPr>
              <w:t>•100 can be thought of as a bundle of ten tens - called a "hundred". •The numbers 100, 200, 300, 400, 500, 600, 700, 800, 900, refer to one, two, three, four, five, six, seven, eight, or nine hundreds (and 0 tens and 0 ones).</w:t>
            </w:r>
          </w:p>
        </w:tc>
        <w:tc>
          <w:tcPr>
            <w:tcW w:w="3150" w:type="dxa"/>
          </w:tcPr>
          <w:p w14:paraId="253E7450" w14:textId="77777777" w:rsidR="00283352" w:rsidRPr="00283352" w:rsidRDefault="00283352" w:rsidP="00283352">
            <w:pPr>
              <w:ind w:left="378" w:right="648" w:hanging="378"/>
              <w:rPr>
                <w:rFonts w:cs="Arial"/>
                <w:b/>
                <w:bCs/>
                <w:color w:val="000000"/>
                <w:sz w:val="17"/>
                <w:szCs w:val="17"/>
              </w:rPr>
            </w:pPr>
            <w:r w:rsidRPr="00283352">
              <w:rPr>
                <w:rFonts w:cs="Arial"/>
                <w:b/>
                <w:bCs/>
                <w:color w:val="000000"/>
                <w:sz w:val="17"/>
                <w:szCs w:val="17"/>
              </w:rPr>
              <w:t>Assessment 12: Grouping 100s</w:t>
            </w:r>
          </w:p>
        </w:tc>
        <w:tc>
          <w:tcPr>
            <w:tcW w:w="2574" w:type="dxa"/>
          </w:tcPr>
          <w:p w14:paraId="6800FAAD" w14:textId="77777777" w:rsidR="00283352" w:rsidRPr="00283352" w:rsidRDefault="00283352" w:rsidP="00283352"/>
        </w:tc>
        <w:tc>
          <w:tcPr>
            <w:tcW w:w="2466" w:type="dxa"/>
          </w:tcPr>
          <w:p w14:paraId="089DA1FB" w14:textId="331545FB" w:rsidR="00283352" w:rsidRPr="001F7ED2" w:rsidRDefault="001F7ED2" w:rsidP="00283352">
            <w:pPr>
              <w:rPr>
                <w:sz w:val="16"/>
                <w:szCs w:val="16"/>
              </w:rPr>
            </w:pPr>
            <w:r>
              <w:rPr>
                <w:sz w:val="16"/>
                <w:szCs w:val="16"/>
              </w:rPr>
              <w:t>End of Year Assessment</w:t>
            </w:r>
          </w:p>
        </w:tc>
      </w:tr>
      <w:tr w:rsidR="00283352" w:rsidRPr="00283352" w14:paraId="40C30496" w14:textId="77777777" w:rsidTr="005D7941">
        <w:tc>
          <w:tcPr>
            <w:tcW w:w="5148" w:type="dxa"/>
          </w:tcPr>
          <w:p w14:paraId="38B6A981"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17"/>
                <w:szCs w:val="17"/>
              </w:rPr>
            </w:pPr>
            <w:r w:rsidRPr="00283352">
              <w:rPr>
                <w:rFonts w:cs="Arial"/>
                <w:color w:val="000000"/>
                <w:sz w:val="17"/>
                <w:szCs w:val="17"/>
              </w:rPr>
              <w:t>Count within 1000, skip-count by 5's, 10's, and 100's.</w:t>
            </w:r>
          </w:p>
        </w:tc>
        <w:tc>
          <w:tcPr>
            <w:tcW w:w="3150" w:type="dxa"/>
          </w:tcPr>
          <w:p w14:paraId="5291902E" w14:textId="77777777" w:rsidR="00283352" w:rsidRPr="00283352" w:rsidRDefault="00283352" w:rsidP="00283352">
            <w:pPr>
              <w:rPr>
                <w:rFonts w:cs="Arial"/>
                <w:b/>
                <w:bCs/>
                <w:color w:val="000000"/>
                <w:sz w:val="17"/>
                <w:szCs w:val="17"/>
              </w:rPr>
            </w:pPr>
            <w:r>
              <w:rPr>
                <w:rFonts w:cs="Arial"/>
                <w:b/>
                <w:bCs/>
                <w:color w:val="000000"/>
                <w:sz w:val="17"/>
                <w:szCs w:val="17"/>
              </w:rPr>
              <w:t xml:space="preserve"> </w:t>
            </w:r>
          </w:p>
        </w:tc>
        <w:tc>
          <w:tcPr>
            <w:tcW w:w="2574" w:type="dxa"/>
          </w:tcPr>
          <w:p w14:paraId="35551824" w14:textId="77777777" w:rsidR="00283352" w:rsidRPr="00283352" w:rsidRDefault="00283352" w:rsidP="00283352"/>
        </w:tc>
        <w:tc>
          <w:tcPr>
            <w:tcW w:w="2466" w:type="dxa"/>
          </w:tcPr>
          <w:p w14:paraId="0DC47674" w14:textId="77777777" w:rsidR="00283352" w:rsidRDefault="006D1804" w:rsidP="00283352">
            <w:pPr>
              <w:rPr>
                <w:sz w:val="16"/>
                <w:szCs w:val="16"/>
              </w:rPr>
            </w:pPr>
            <w:r>
              <w:rPr>
                <w:sz w:val="16"/>
                <w:szCs w:val="16"/>
              </w:rPr>
              <w:t>Mid Year Assessment</w:t>
            </w:r>
          </w:p>
          <w:p w14:paraId="1C8BF858" w14:textId="49F1E188" w:rsidR="001F7ED2" w:rsidRPr="006D1804" w:rsidRDefault="001F7ED2" w:rsidP="00283352">
            <w:pPr>
              <w:rPr>
                <w:sz w:val="16"/>
                <w:szCs w:val="16"/>
              </w:rPr>
            </w:pPr>
            <w:r>
              <w:rPr>
                <w:sz w:val="16"/>
                <w:szCs w:val="16"/>
              </w:rPr>
              <w:t>End of Year Assessment</w:t>
            </w:r>
          </w:p>
        </w:tc>
      </w:tr>
      <w:tr w:rsidR="00283352" w:rsidRPr="00283352" w14:paraId="5CBE5821" w14:textId="77777777" w:rsidTr="005D7941">
        <w:tc>
          <w:tcPr>
            <w:tcW w:w="5148" w:type="dxa"/>
          </w:tcPr>
          <w:p w14:paraId="1493C650"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17"/>
                <w:szCs w:val="17"/>
              </w:rPr>
            </w:pPr>
            <w:r w:rsidRPr="00283352">
              <w:rPr>
                <w:rFonts w:cs="Arial"/>
                <w:color w:val="000000"/>
                <w:sz w:val="17"/>
                <w:szCs w:val="17"/>
              </w:rPr>
              <w:t>Read and write numerals to 1000 using base-ten numerals, number names, and expanded form.</w:t>
            </w:r>
          </w:p>
        </w:tc>
        <w:tc>
          <w:tcPr>
            <w:tcW w:w="3150" w:type="dxa"/>
          </w:tcPr>
          <w:p w14:paraId="042B9A0C" w14:textId="77777777" w:rsidR="00283352" w:rsidRPr="00283352" w:rsidRDefault="00283352" w:rsidP="00283352">
            <w:pPr>
              <w:rPr>
                <w:rFonts w:cs="Arial"/>
                <w:b/>
                <w:bCs/>
                <w:color w:val="000000"/>
                <w:sz w:val="17"/>
                <w:szCs w:val="17"/>
              </w:rPr>
            </w:pPr>
          </w:p>
        </w:tc>
        <w:tc>
          <w:tcPr>
            <w:tcW w:w="2574" w:type="dxa"/>
          </w:tcPr>
          <w:p w14:paraId="17C16D91" w14:textId="77777777" w:rsidR="00283352" w:rsidRPr="00283352" w:rsidRDefault="00283352" w:rsidP="00283352"/>
        </w:tc>
        <w:tc>
          <w:tcPr>
            <w:tcW w:w="2466" w:type="dxa"/>
          </w:tcPr>
          <w:p w14:paraId="1B9FF83F" w14:textId="77777777" w:rsidR="00283352" w:rsidRDefault="006D1804" w:rsidP="00283352">
            <w:pPr>
              <w:rPr>
                <w:sz w:val="16"/>
                <w:szCs w:val="16"/>
              </w:rPr>
            </w:pPr>
            <w:r>
              <w:rPr>
                <w:sz w:val="16"/>
                <w:szCs w:val="16"/>
              </w:rPr>
              <w:t>Mid Year Assessment</w:t>
            </w:r>
          </w:p>
          <w:p w14:paraId="729517C8" w14:textId="3EB3AB6E" w:rsidR="001F7ED2" w:rsidRPr="006D1804" w:rsidRDefault="001F7ED2" w:rsidP="00283352">
            <w:pPr>
              <w:rPr>
                <w:sz w:val="16"/>
                <w:szCs w:val="16"/>
              </w:rPr>
            </w:pPr>
            <w:r>
              <w:rPr>
                <w:sz w:val="16"/>
                <w:szCs w:val="16"/>
              </w:rPr>
              <w:t>End of Year Assessment</w:t>
            </w:r>
          </w:p>
        </w:tc>
      </w:tr>
      <w:tr w:rsidR="00283352" w:rsidRPr="00283352" w14:paraId="79720D58" w14:textId="77777777" w:rsidTr="005D7941">
        <w:tc>
          <w:tcPr>
            <w:tcW w:w="5148" w:type="dxa"/>
          </w:tcPr>
          <w:p w14:paraId="0D47C93A" w14:textId="77777777" w:rsidR="00283352" w:rsidRPr="00283352" w:rsidRDefault="0028335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17"/>
                <w:szCs w:val="17"/>
              </w:rPr>
            </w:pPr>
            <w:r w:rsidRPr="00283352">
              <w:rPr>
                <w:rFonts w:cs="Arial"/>
                <w:color w:val="000000"/>
                <w:sz w:val="17"/>
                <w:szCs w:val="17"/>
              </w:rPr>
              <w:t>Compare two three-digit numbers based on meanings of the hundreds, tens and digits using &lt;, =, &gt; symbols to record the results of the comparisons.</w:t>
            </w:r>
          </w:p>
        </w:tc>
        <w:tc>
          <w:tcPr>
            <w:tcW w:w="3150" w:type="dxa"/>
          </w:tcPr>
          <w:p w14:paraId="15FF6461" w14:textId="77777777" w:rsidR="00283352" w:rsidRPr="00283352" w:rsidRDefault="00283352" w:rsidP="00283352">
            <w:pPr>
              <w:rPr>
                <w:rFonts w:cs="Arial"/>
                <w:b/>
                <w:bCs/>
                <w:color w:val="000000"/>
                <w:sz w:val="17"/>
                <w:szCs w:val="17"/>
              </w:rPr>
            </w:pPr>
          </w:p>
        </w:tc>
        <w:tc>
          <w:tcPr>
            <w:tcW w:w="2574" w:type="dxa"/>
          </w:tcPr>
          <w:p w14:paraId="01BA9A75" w14:textId="77777777" w:rsidR="00283352" w:rsidRPr="00283352" w:rsidRDefault="00283352" w:rsidP="00283352"/>
        </w:tc>
        <w:tc>
          <w:tcPr>
            <w:tcW w:w="2466" w:type="dxa"/>
          </w:tcPr>
          <w:p w14:paraId="6EC43D56" w14:textId="77777777" w:rsidR="00283352" w:rsidRPr="00283352" w:rsidRDefault="00283352" w:rsidP="00283352"/>
        </w:tc>
      </w:tr>
      <w:tr w:rsidR="00B12157" w:rsidRPr="00283352" w14:paraId="4F8AEBE8" w14:textId="77777777" w:rsidTr="005D7941">
        <w:tc>
          <w:tcPr>
            <w:tcW w:w="5148" w:type="dxa"/>
          </w:tcPr>
          <w:p w14:paraId="2776D88A" w14:textId="33DD0C61" w:rsidR="00B12157" w:rsidRPr="00B12157" w:rsidRDefault="006D1804"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color w:val="000000"/>
                <w:sz w:val="20"/>
                <w:szCs w:val="20"/>
              </w:rPr>
            </w:pPr>
            <w:r>
              <w:rPr>
                <w:rFonts w:cs="Arial"/>
                <w:b/>
                <w:color w:val="000000"/>
                <w:sz w:val="20"/>
                <w:szCs w:val="20"/>
              </w:rPr>
              <w:t xml:space="preserve">Standard:  </w:t>
            </w:r>
            <w:r w:rsidR="00B12157">
              <w:rPr>
                <w:rFonts w:cs="Arial"/>
                <w:b/>
                <w:color w:val="000000"/>
                <w:sz w:val="20"/>
                <w:szCs w:val="20"/>
              </w:rPr>
              <w:t>Measurement and Data</w:t>
            </w:r>
            <w:r>
              <w:rPr>
                <w:rFonts w:cs="Arial"/>
                <w:b/>
                <w:color w:val="000000"/>
                <w:sz w:val="20"/>
                <w:szCs w:val="20"/>
              </w:rPr>
              <w:t xml:space="preserve"> (MD)</w:t>
            </w:r>
          </w:p>
        </w:tc>
        <w:tc>
          <w:tcPr>
            <w:tcW w:w="3150" w:type="dxa"/>
          </w:tcPr>
          <w:p w14:paraId="155DEB72" w14:textId="77777777" w:rsidR="00B12157" w:rsidRPr="00283352" w:rsidRDefault="00B12157" w:rsidP="00283352">
            <w:pPr>
              <w:rPr>
                <w:rFonts w:cs="Arial"/>
                <w:b/>
                <w:bCs/>
                <w:color w:val="000000"/>
                <w:sz w:val="17"/>
                <w:szCs w:val="17"/>
              </w:rPr>
            </w:pPr>
          </w:p>
        </w:tc>
        <w:tc>
          <w:tcPr>
            <w:tcW w:w="2574" w:type="dxa"/>
          </w:tcPr>
          <w:p w14:paraId="4F1E2890" w14:textId="77777777" w:rsidR="00B12157" w:rsidRPr="00B12157" w:rsidRDefault="00B12157" w:rsidP="00283352">
            <w:pPr>
              <w:rPr>
                <w:sz w:val="17"/>
                <w:szCs w:val="17"/>
              </w:rPr>
            </w:pPr>
            <w:r>
              <w:rPr>
                <w:sz w:val="17"/>
                <w:szCs w:val="17"/>
              </w:rPr>
              <w:t>Items #1, 3, 6, 11, 13, 19, 26</w:t>
            </w:r>
          </w:p>
        </w:tc>
        <w:tc>
          <w:tcPr>
            <w:tcW w:w="2466" w:type="dxa"/>
          </w:tcPr>
          <w:p w14:paraId="72BAAC1C" w14:textId="77777777" w:rsidR="00B12157" w:rsidRDefault="006D1804" w:rsidP="00283352">
            <w:pPr>
              <w:rPr>
                <w:sz w:val="16"/>
                <w:szCs w:val="16"/>
              </w:rPr>
            </w:pPr>
            <w:r>
              <w:rPr>
                <w:sz w:val="16"/>
                <w:szCs w:val="16"/>
              </w:rPr>
              <w:t>Beginning of Year Assessment</w:t>
            </w:r>
          </w:p>
          <w:p w14:paraId="11F813DC" w14:textId="77777777" w:rsidR="006D1804" w:rsidRDefault="006D1804" w:rsidP="00283352">
            <w:pPr>
              <w:rPr>
                <w:sz w:val="16"/>
                <w:szCs w:val="16"/>
              </w:rPr>
            </w:pPr>
            <w:r>
              <w:rPr>
                <w:sz w:val="16"/>
                <w:szCs w:val="16"/>
              </w:rPr>
              <w:t>Mid Year Assessment</w:t>
            </w:r>
          </w:p>
          <w:p w14:paraId="53070656" w14:textId="25DAA12F" w:rsidR="001F7ED2" w:rsidRPr="006D1804" w:rsidRDefault="001F7ED2" w:rsidP="00283352">
            <w:pPr>
              <w:rPr>
                <w:sz w:val="16"/>
                <w:szCs w:val="16"/>
              </w:rPr>
            </w:pPr>
            <w:r>
              <w:rPr>
                <w:sz w:val="16"/>
                <w:szCs w:val="16"/>
              </w:rPr>
              <w:t>End of Year Assessment</w:t>
            </w:r>
          </w:p>
        </w:tc>
      </w:tr>
      <w:tr w:rsidR="00B12157" w:rsidRPr="00283352" w14:paraId="3F45E36B" w14:textId="77777777" w:rsidTr="005D7941">
        <w:tc>
          <w:tcPr>
            <w:tcW w:w="5148" w:type="dxa"/>
          </w:tcPr>
          <w:p w14:paraId="1F88F4E1" w14:textId="32818048" w:rsidR="00B12157" w:rsidRDefault="006D1804"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color w:val="000000"/>
                <w:sz w:val="20"/>
                <w:szCs w:val="20"/>
              </w:rPr>
            </w:pPr>
            <w:r>
              <w:rPr>
                <w:rFonts w:cs="Arial"/>
                <w:b/>
                <w:color w:val="000000"/>
                <w:sz w:val="20"/>
                <w:szCs w:val="20"/>
              </w:rPr>
              <w:t xml:space="preserve">Standard:  </w:t>
            </w:r>
            <w:r w:rsidR="00B12157">
              <w:rPr>
                <w:rFonts w:cs="Arial"/>
                <w:b/>
                <w:color w:val="000000"/>
                <w:sz w:val="20"/>
                <w:szCs w:val="20"/>
              </w:rPr>
              <w:t>Geometry</w:t>
            </w:r>
            <w:r>
              <w:rPr>
                <w:rFonts w:cs="Arial"/>
                <w:b/>
                <w:color w:val="000000"/>
                <w:sz w:val="20"/>
                <w:szCs w:val="20"/>
              </w:rPr>
              <w:t xml:space="preserve"> (G)</w:t>
            </w:r>
          </w:p>
        </w:tc>
        <w:tc>
          <w:tcPr>
            <w:tcW w:w="3150" w:type="dxa"/>
          </w:tcPr>
          <w:p w14:paraId="64272E28" w14:textId="77777777" w:rsidR="00B12157" w:rsidRPr="00283352" w:rsidRDefault="00B12157" w:rsidP="00283352">
            <w:pPr>
              <w:rPr>
                <w:rFonts w:cs="Arial"/>
                <w:b/>
                <w:bCs/>
                <w:color w:val="000000"/>
                <w:sz w:val="17"/>
                <w:szCs w:val="17"/>
              </w:rPr>
            </w:pPr>
          </w:p>
        </w:tc>
        <w:tc>
          <w:tcPr>
            <w:tcW w:w="2574" w:type="dxa"/>
          </w:tcPr>
          <w:p w14:paraId="4E22AD3D" w14:textId="77777777" w:rsidR="00B12157" w:rsidRPr="00B12157" w:rsidRDefault="00B12157" w:rsidP="00283352">
            <w:pPr>
              <w:rPr>
                <w:sz w:val="17"/>
                <w:szCs w:val="17"/>
              </w:rPr>
            </w:pPr>
            <w:r>
              <w:rPr>
                <w:sz w:val="17"/>
                <w:szCs w:val="17"/>
              </w:rPr>
              <w:t>Item #16</w:t>
            </w:r>
          </w:p>
        </w:tc>
        <w:tc>
          <w:tcPr>
            <w:tcW w:w="2466" w:type="dxa"/>
          </w:tcPr>
          <w:p w14:paraId="520122E6" w14:textId="77777777" w:rsidR="00B12157" w:rsidRDefault="006D1804" w:rsidP="00283352">
            <w:pPr>
              <w:rPr>
                <w:sz w:val="16"/>
                <w:szCs w:val="16"/>
              </w:rPr>
            </w:pPr>
            <w:r>
              <w:rPr>
                <w:sz w:val="16"/>
                <w:szCs w:val="16"/>
              </w:rPr>
              <w:t>Beginning of Year Assessment</w:t>
            </w:r>
          </w:p>
          <w:p w14:paraId="235CEEE7" w14:textId="65428B7C" w:rsidR="001F7ED2" w:rsidRPr="006D1804" w:rsidRDefault="001F7ED2" w:rsidP="00283352">
            <w:pPr>
              <w:rPr>
                <w:sz w:val="16"/>
                <w:szCs w:val="16"/>
              </w:rPr>
            </w:pPr>
            <w:r>
              <w:rPr>
                <w:sz w:val="16"/>
                <w:szCs w:val="16"/>
              </w:rPr>
              <w:t>End of Year Assessment</w:t>
            </w:r>
          </w:p>
        </w:tc>
      </w:tr>
      <w:tr w:rsidR="00B12157" w:rsidRPr="00283352" w14:paraId="32A8770F" w14:textId="77777777" w:rsidTr="005D7941">
        <w:tc>
          <w:tcPr>
            <w:tcW w:w="5148" w:type="dxa"/>
          </w:tcPr>
          <w:p w14:paraId="77324EFE" w14:textId="1F26F883" w:rsidR="00B12157" w:rsidRDefault="00B12157"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color w:val="000000"/>
                <w:sz w:val="20"/>
                <w:szCs w:val="20"/>
              </w:rPr>
            </w:pPr>
            <w:r>
              <w:rPr>
                <w:rFonts w:cs="Arial"/>
                <w:b/>
                <w:color w:val="000000"/>
                <w:sz w:val="20"/>
                <w:szCs w:val="20"/>
              </w:rPr>
              <w:t>Other</w:t>
            </w:r>
            <w:r w:rsidR="006D1804">
              <w:rPr>
                <w:rFonts w:cs="Arial"/>
                <w:b/>
                <w:color w:val="000000"/>
                <w:sz w:val="20"/>
                <w:szCs w:val="20"/>
              </w:rPr>
              <w:t xml:space="preserve"> Data Collected:</w:t>
            </w:r>
          </w:p>
          <w:p w14:paraId="600D5F48" w14:textId="77777777" w:rsidR="00B12157" w:rsidRDefault="00B12157"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7"/>
                <w:szCs w:val="17"/>
              </w:rPr>
            </w:pPr>
            <w:r>
              <w:rPr>
                <w:rFonts w:cs="Arial"/>
                <w:b/>
                <w:color w:val="000000"/>
                <w:sz w:val="20"/>
                <w:szCs w:val="20"/>
              </w:rPr>
              <w:t xml:space="preserve">  </w:t>
            </w:r>
            <w:r>
              <w:rPr>
                <w:sz w:val="17"/>
                <w:szCs w:val="17"/>
              </w:rPr>
              <w:t>Counting/</w:t>
            </w:r>
            <w:proofErr w:type="gramStart"/>
            <w:r>
              <w:rPr>
                <w:sz w:val="17"/>
                <w:szCs w:val="17"/>
              </w:rPr>
              <w:t>Cardinality(</w:t>
            </w:r>
            <w:proofErr w:type="gramEnd"/>
            <w:r>
              <w:rPr>
                <w:sz w:val="17"/>
                <w:szCs w:val="17"/>
              </w:rPr>
              <w:t>Kindergarten)</w:t>
            </w:r>
          </w:p>
          <w:p w14:paraId="19B698BC" w14:textId="77777777" w:rsidR="006D1804" w:rsidRDefault="006D1804"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7"/>
                <w:szCs w:val="17"/>
              </w:rPr>
            </w:pPr>
          </w:p>
          <w:p w14:paraId="7C0D347B" w14:textId="77777777" w:rsidR="00B12157" w:rsidRDefault="00B12157"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7"/>
                <w:szCs w:val="17"/>
              </w:rPr>
            </w:pPr>
            <w:r>
              <w:rPr>
                <w:sz w:val="17"/>
                <w:szCs w:val="17"/>
              </w:rPr>
              <w:t xml:space="preserve">    </w:t>
            </w:r>
            <w:r w:rsidR="001E3DB8">
              <w:rPr>
                <w:sz w:val="17"/>
                <w:szCs w:val="17"/>
              </w:rPr>
              <w:t xml:space="preserve">Number and Operations - </w:t>
            </w:r>
            <w:r>
              <w:rPr>
                <w:sz w:val="17"/>
                <w:szCs w:val="17"/>
              </w:rPr>
              <w:t>Fractions (3</w:t>
            </w:r>
            <w:r w:rsidRPr="00B12157">
              <w:rPr>
                <w:sz w:val="17"/>
                <w:szCs w:val="17"/>
                <w:vertAlign w:val="superscript"/>
              </w:rPr>
              <w:t>rd</w:t>
            </w:r>
            <w:r>
              <w:rPr>
                <w:sz w:val="17"/>
                <w:szCs w:val="17"/>
              </w:rPr>
              <w:t xml:space="preserve"> Grade)</w:t>
            </w:r>
          </w:p>
          <w:p w14:paraId="69E60884" w14:textId="2084BC51" w:rsidR="006D1804" w:rsidRDefault="006D1804"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7"/>
                <w:szCs w:val="17"/>
              </w:rPr>
            </w:pPr>
            <w:r>
              <w:rPr>
                <w:sz w:val="17"/>
                <w:szCs w:val="17"/>
              </w:rPr>
              <w:t xml:space="preserve">                                       -Properties of Operations (1</w:t>
            </w:r>
            <w:r w:rsidRPr="006D1804">
              <w:rPr>
                <w:sz w:val="17"/>
                <w:szCs w:val="17"/>
                <w:vertAlign w:val="superscript"/>
              </w:rPr>
              <w:t>st</w:t>
            </w:r>
            <w:r>
              <w:rPr>
                <w:sz w:val="17"/>
                <w:szCs w:val="17"/>
              </w:rPr>
              <w:t xml:space="preserve"> Grade)</w:t>
            </w:r>
          </w:p>
          <w:p w14:paraId="5E21CEA3" w14:textId="77777777" w:rsidR="001F7ED2" w:rsidRDefault="001F7ED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7"/>
                <w:szCs w:val="17"/>
              </w:rPr>
            </w:pPr>
          </w:p>
          <w:p w14:paraId="335E2A5E" w14:textId="3FE0DC83" w:rsidR="001F7ED2" w:rsidRDefault="001F7ED2"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7"/>
                <w:szCs w:val="17"/>
              </w:rPr>
            </w:pPr>
            <w:r>
              <w:rPr>
                <w:sz w:val="17"/>
                <w:szCs w:val="17"/>
              </w:rPr>
              <w:t xml:space="preserve">    Patterning</w:t>
            </w:r>
          </w:p>
          <w:p w14:paraId="32D33934" w14:textId="0A9F8B8E" w:rsidR="006D1804" w:rsidRDefault="006D1804"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color w:val="000000"/>
                <w:sz w:val="20"/>
                <w:szCs w:val="20"/>
              </w:rPr>
            </w:pPr>
            <w:r>
              <w:rPr>
                <w:sz w:val="17"/>
                <w:szCs w:val="17"/>
              </w:rPr>
              <w:t xml:space="preserve">                 </w:t>
            </w:r>
          </w:p>
          <w:p w14:paraId="21A33F08" w14:textId="77777777" w:rsidR="00B12157" w:rsidRPr="00B12157" w:rsidRDefault="00B12157" w:rsidP="00C302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000000"/>
                <w:sz w:val="20"/>
                <w:szCs w:val="20"/>
              </w:rPr>
            </w:pPr>
          </w:p>
        </w:tc>
        <w:tc>
          <w:tcPr>
            <w:tcW w:w="3150" w:type="dxa"/>
          </w:tcPr>
          <w:p w14:paraId="0EB5E290" w14:textId="77777777" w:rsidR="00B12157" w:rsidRPr="00283352" w:rsidRDefault="00B12157" w:rsidP="00283352">
            <w:pPr>
              <w:rPr>
                <w:rFonts w:cs="Arial"/>
                <w:b/>
                <w:bCs/>
                <w:color w:val="000000"/>
                <w:sz w:val="17"/>
                <w:szCs w:val="17"/>
              </w:rPr>
            </w:pPr>
          </w:p>
        </w:tc>
        <w:tc>
          <w:tcPr>
            <w:tcW w:w="2574" w:type="dxa"/>
          </w:tcPr>
          <w:p w14:paraId="72C15AD1" w14:textId="77777777" w:rsidR="00B12157" w:rsidRDefault="00B12157" w:rsidP="00283352">
            <w:pPr>
              <w:rPr>
                <w:sz w:val="17"/>
                <w:szCs w:val="17"/>
              </w:rPr>
            </w:pPr>
          </w:p>
          <w:p w14:paraId="7EC60014" w14:textId="77777777" w:rsidR="00B12157" w:rsidRDefault="00B12157" w:rsidP="00283352">
            <w:pPr>
              <w:rPr>
                <w:sz w:val="17"/>
                <w:szCs w:val="17"/>
              </w:rPr>
            </w:pPr>
            <w:r>
              <w:rPr>
                <w:sz w:val="17"/>
                <w:szCs w:val="17"/>
              </w:rPr>
              <w:t>Item #14, 21</w:t>
            </w:r>
          </w:p>
          <w:p w14:paraId="0D0E2FAE" w14:textId="77777777" w:rsidR="006D1804" w:rsidRDefault="006D1804" w:rsidP="00283352">
            <w:pPr>
              <w:rPr>
                <w:sz w:val="17"/>
                <w:szCs w:val="17"/>
              </w:rPr>
            </w:pPr>
          </w:p>
          <w:p w14:paraId="0CFDFEB9" w14:textId="77777777" w:rsidR="001E3DB8" w:rsidRDefault="001E3DB8" w:rsidP="00283352">
            <w:pPr>
              <w:rPr>
                <w:sz w:val="17"/>
                <w:szCs w:val="17"/>
              </w:rPr>
            </w:pPr>
            <w:r>
              <w:rPr>
                <w:sz w:val="17"/>
                <w:szCs w:val="17"/>
              </w:rPr>
              <w:t>Item #17, 28</w:t>
            </w:r>
          </w:p>
        </w:tc>
        <w:tc>
          <w:tcPr>
            <w:tcW w:w="2466" w:type="dxa"/>
          </w:tcPr>
          <w:p w14:paraId="35187D8D" w14:textId="77777777" w:rsidR="00B12157" w:rsidRDefault="00B12157" w:rsidP="00283352">
            <w:pPr>
              <w:rPr>
                <w:sz w:val="16"/>
                <w:szCs w:val="16"/>
              </w:rPr>
            </w:pPr>
          </w:p>
          <w:p w14:paraId="07955A66" w14:textId="239D3F7C" w:rsidR="006D1804" w:rsidRDefault="006D1804" w:rsidP="00283352">
            <w:pPr>
              <w:rPr>
                <w:sz w:val="16"/>
                <w:szCs w:val="16"/>
              </w:rPr>
            </w:pPr>
            <w:r>
              <w:rPr>
                <w:sz w:val="16"/>
                <w:szCs w:val="16"/>
              </w:rPr>
              <w:t>Beginning of Year Assessment</w:t>
            </w:r>
          </w:p>
          <w:p w14:paraId="123211FA" w14:textId="3EC153BF" w:rsidR="006D1804" w:rsidRDefault="006D1804" w:rsidP="00283352">
            <w:pPr>
              <w:rPr>
                <w:sz w:val="16"/>
                <w:szCs w:val="16"/>
              </w:rPr>
            </w:pPr>
            <w:r>
              <w:rPr>
                <w:sz w:val="16"/>
                <w:szCs w:val="16"/>
              </w:rPr>
              <w:t>Mid Year Assessment</w:t>
            </w:r>
          </w:p>
          <w:p w14:paraId="4E541031" w14:textId="77777777" w:rsidR="006D1804" w:rsidRDefault="006D1804" w:rsidP="00283352">
            <w:pPr>
              <w:rPr>
                <w:sz w:val="16"/>
                <w:szCs w:val="16"/>
              </w:rPr>
            </w:pPr>
          </w:p>
          <w:p w14:paraId="09FE0431" w14:textId="0977E88F" w:rsidR="006D1804" w:rsidRDefault="006D1804" w:rsidP="00283352">
            <w:pPr>
              <w:rPr>
                <w:sz w:val="16"/>
                <w:szCs w:val="16"/>
              </w:rPr>
            </w:pPr>
            <w:r>
              <w:rPr>
                <w:sz w:val="16"/>
                <w:szCs w:val="16"/>
              </w:rPr>
              <w:t>Beginning of Year Assessment</w:t>
            </w:r>
          </w:p>
          <w:p w14:paraId="38ECFE13" w14:textId="59099185" w:rsidR="006D1804" w:rsidRDefault="006D1804" w:rsidP="00283352">
            <w:pPr>
              <w:rPr>
                <w:sz w:val="16"/>
                <w:szCs w:val="16"/>
              </w:rPr>
            </w:pPr>
            <w:r>
              <w:rPr>
                <w:sz w:val="16"/>
                <w:szCs w:val="16"/>
              </w:rPr>
              <w:t>Mid Year Assessment</w:t>
            </w:r>
          </w:p>
          <w:p w14:paraId="645E1ADA" w14:textId="455161CD" w:rsidR="001F7ED2" w:rsidRDefault="001F7ED2" w:rsidP="00283352">
            <w:pPr>
              <w:rPr>
                <w:sz w:val="16"/>
                <w:szCs w:val="16"/>
              </w:rPr>
            </w:pPr>
            <w:r>
              <w:rPr>
                <w:sz w:val="16"/>
                <w:szCs w:val="16"/>
              </w:rPr>
              <w:t>End of Year Assessment</w:t>
            </w:r>
          </w:p>
          <w:p w14:paraId="30785B4B" w14:textId="4504CDF5" w:rsidR="001F7ED2" w:rsidRPr="006D1804" w:rsidRDefault="001F7ED2" w:rsidP="00283352">
            <w:pPr>
              <w:rPr>
                <w:sz w:val="16"/>
                <w:szCs w:val="16"/>
              </w:rPr>
            </w:pPr>
            <w:r>
              <w:rPr>
                <w:sz w:val="16"/>
                <w:szCs w:val="16"/>
              </w:rPr>
              <w:t>End of Year Assessment</w:t>
            </w:r>
          </w:p>
          <w:p w14:paraId="0721B1A3" w14:textId="77777777" w:rsidR="006D1804" w:rsidRPr="006D1804" w:rsidRDefault="006D1804" w:rsidP="00283352">
            <w:pPr>
              <w:rPr>
                <w:sz w:val="16"/>
                <w:szCs w:val="16"/>
              </w:rPr>
            </w:pPr>
          </w:p>
        </w:tc>
      </w:tr>
    </w:tbl>
    <w:p w14:paraId="03EC40D0" w14:textId="77777777" w:rsidR="00635051" w:rsidRPr="00283352" w:rsidRDefault="00635051"/>
    <w:sectPr w:rsidR="00635051" w:rsidRPr="00283352" w:rsidSect="00C30216">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216"/>
    <w:rsid w:val="001D3B80"/>
    <w:rsid w:val="001E3DB8"/>
    <w:rsid w:val="001F7ED2"/>
    <w:rsid w:val="00283352"/>
    <w:rsid w:val="005D7941"/>
    <w:rsid w:val="00635051"/>
    <w:rsid w:val="006D1804"/>
    <w:rsid w:val="00A92523"/>
    <w:rsid w:val="00B12157"/>
    <w:rsid w:val="00C30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4FD1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EastAsia" w:hAnsi="Comic Sans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2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EastAsia" w:hAnsi="Comic Sans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2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619</Words>
  <Characters>3534</Characters>
  <Application>Microsoft Macintosh Word</Application>
  <DocSecurity>0</DocSecurity>
  <Lines>29</Lines>
  <Paragraphs>8</Paragraphs>
  <ScaleCrop>false</ScaleCrop>
  <Company>TSD</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School District</dc:creator>
  <cp:keywords/>
  <dc:description/>
  <cp:lastModifiedBy>Thompson School District</cp:lastModifiedBy>
  <cp:revision>3</cp:revision>
  <dcterms:created xsi:type="dcterms:W3CDTF">2013-01-23T16:45:00Z</dcterms:created>
  <dcterms:modified xsi:type="dcterms:W3CDTF">2013-01-23T16:46:00Z</dcterms:modified>
</cp:coreProperties>
</file>